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52FAE8BA" w:rsidR="005F6ECE" w:rsidRPr="00FC3F8A" w:rsidRDefault="00D45AFD" w:rsidP="00D45AFD">
      <w:hyperlink r:id="rId6" w:history="1">
        <w:r w:rsidRPr="00036A77">
          <w:rPr>
            <w:rStyle w:val="Collegamentoipertestuale"/>
          </w:rPr>
          <w:t>https://www.proiezionidiborsa.it/dividendi-banche-2025-la-classifica-di-chi-paga-di-piu-e-le-date-da-tenere-docchio-ce-ancora-tempo-per-acquistare-le-azioni/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iezionidiborsa.it/dividendi-banche-2025-la-classifica-di-chi-paga-di-piu-e-le-date-da-tenere-docchio-ce-ancora-tempo-per-acquistare-le-azio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2025-02-24T16:06:00Z</dcterms:created>
  <dcterms:modified xsi:type="dcterms:W3CDTF">2025-02-24T16:07:00Z</dcterms:modified>
</cp:coreProperties>
</file>